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uppressLineNumbers/>
        <w:adjustRightInd/>
        <w:snapToGrid/>
        <w:spacing w:after="0" w:line="480" w:lineRule="auto"/>
        <w:jc w:val="both"/>
        <w:rPr>
          <w:rFonts w:ascii="Times New Roman" w:hAnsi="Times New Roman" w:eastAsia="宋体" w:cs="Times New Roman"/>
          <w:kern w:val="2"/>
          <w:sz w:val="24"/>
        </w:rPr>
      </w:pPr>
      <w:r>
        <w:rPr>
          <w:rFonts w:ascii="Times New Roman" w:hAnsi="Times New Roman" w:eastAsia="宋体" w:cs="Times New Roman"/>
          <w:kern w:val="2"/>
          <w:sz w:val="24"/>
        </w:rPr>
        <w:t>Appendix table</w:t>
      </w:r>
      <w:r>
        <w:rPr>
          <w:rFonts w:hint="eastAsia" w:ascii="Times New Roman" w:hAnsi="Times New Roman" w:eastAsia="宋体" w:cs="Times New Roman"/>
          <w:kern w:val="2"/>
          <w:sz w:val="24"/>
        </w:rPr>
        <w:t xml:space="preserve"> </w:t>
      </w:r>
      <w:r>
        <w:rPr>
          <w:rFonts w:ascii="Times New Roman" w:hAnsi="Times New Roman" w:eastAsia="宋体" w:cs="Times New Roman"/>
          <w:kern w:val="2"/>
          <w:sz w:val="24"/>
        </w:rPr>
        <w:t>1 International Classification of Diseases (ICD) coding ranges used to define specific methods</w:t>
      </w:r>
      <w:r>
        <w:rPr>
          <w:rFonts w:hint="eastAsia" w:ascii="Times New Roman" w:hAnsi="Times New Roman" w:eastAsia="宋体" w:cs="Times New Roman"/>
          <w:kern w:val="2"/>
          <w:sz w:val="24"/>
        </w:rPr>
        <w:t xml:space="preserve"> </w:t>
      </w:r>
      <w:r>
        <w:rPr>
          <w:rFonts w:ascii="Times New Roman" w:hAnsi="Times New Roman" w:eastAsia="宋体" w:cs="Times New Roman"/>
          <w:kern w:val="2"/>
          <w:sz w:val="24"/>
        </w:rPr>
        <w:t xml:space="preserve">of death in </w:t>
      </w:r>
      <w:r>
        <w:rPr>
          <w:rFonts w:hint="eastAsia" w:ascii="Times New Roman" w:hAnsi="Times New Roman" w:eastAsia="宋体" w:cs="Times New Roman"/>
          <w:kern w:val="2"/>
          <w:sz w:val="24"/>
        </w:rPr>
        <w:t>Guangzhou</w:t>
      </w:r>
      <w:r>
        <w:rPr>
          <w:rFonts w:ascii="Times New Roman" w:hAnsi="Times New Roman" w:eastAsia="宋体" w:cs="Times New Roman"/>
          <w:kern w:val="2"/>
          <w:sz w:val="24"/>
        </w:rPr>
        <w:t xml:space="preserve">, </w:t>
      </w:r>
      <w:r>
        <w:rPr>
          <w:rFonts w:hint="eastAsia" w:ascii="Times New Roman" w:hAnsi="Times New Roman" w:eastAsia="宋体" w:cs="Times New Roman"/>
          <w:kern w:val="2"/>
          <w:sz w:val="24"/>
        </w:rPr>
        <w:t>2008</w:t>
      </w:r>
      <w:r>
        <w:rPr>
          <w:rFonts w:ascii="Times New Roman" w:hAnsi="Times New Roman" w:eastAsia="宋体" w:cs="Times New Roman"/>
          <w:kern w:val="2"/>
          <w:sz w:val="24"/>
        </w:rPr>
        <w:t>-201</w:t>
      </w:r>
      <w:r>
        <w:rPr>
          <w:rFonts w:hint="eastAsia" w:ascii="Times New Roman" w:hAnsi="Times New Roman" w:eastAsia="宋体" w:cs="Times New Roman"/>
          <w:kern w:val="2"/>
          <w:sz w:val="24"/>
        </w:rPr>
        <w:t>8</w:t>
      </w:r>
      <w:r>
        <w:rPr>
          <w:rFonts w:ascii="Times New Roman" w:hAnsi="Times New Roman" w:eastAsia="宋体" w:cs="Times New Roman"/>
          <w:kern w:val="2"/>
          <w:sz w:val="24"/>
        </w:rPr>
        <w:t>.</w:t>
      </w:r>
    </w:p>
    <w:tbl>
      <w:tblPr>
        <w:tblStyle w:val="2"/>
        <w:tblW w:w="9757" w:type="dxa"/>
        <w:tblInd w:w="-4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0"/>
        <w:gridCol w:w="60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Cause of death</w:t>
            </w:r>
          </w:p>
        </w:tc>
        <w:tc>
          <w:tcPr>
            <w:tcW w:w="609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ICD-10 range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Communicable and nutritional conditions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Diarrhea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A02.8-A07, A08-A09.9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Tuberculosis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A15-A19.9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Meningitis / Encephalitis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A39-A39.9, A83-A86.4, A87-A87.9, G00-G00.9, G03-G03.9, G04-G05.8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Nutritional deficiencies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D50-D53, E40-E46, E51-E64.0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Pneumonia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J00-J06.9, J10-J18.9, J20-J22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Maternal and perinatal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O00-O99.9, P00-P96.9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CMNN other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A33-A35.0, A40-A79, A88.8, B00-B04, B05-B05.9, B06-B19.0, B20-B24, B25-B49, B92-B99, G02.0-J09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Non-communicable diseases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Cancer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C00-C25.9, C30-C34.9, C37-C38.8, C40-C41.9, C43-C45.9, C47-C54.9, C56-C57.8, C64-C67.9, C69-C75.8, C81-C86.6, C88-C96.9, D00-D48.9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Diabetes, Endocrine and immune disorders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D55-D64.8, D65-D89, E03-E07, E10-E14, E15-E16.9, E20-E34.9, E65-E88.9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Neurological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F01-F99, G06-G98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Cardiovascular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I00-I13, I20-I28, I38-I41.9, I42.1-I42.8, I43-I43.9,  I44-I51.4,  I60-I99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Chronic respiratory disease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J30-J98.8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Congenital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Q00-Q99.9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NCDs other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C76-C80, C97-J09, D64.9-E14.1, H00-H61, I42.0-I42.9, I51.6-I51.9, L00-L98.4, M00-M99, N00-N64, K20-K92.9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Injuries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Transport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V01-V99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Fall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W00-W19.9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Drowning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W65-W74.9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Asphyxia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W75-W84.9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Poisoning and fires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X00-X09.9, X40-X49.0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Suicide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X60-X84.9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Homicide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X85-Y09.9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Undetermined intent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Y10-Y34.3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Injury other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W20-W64, W85-W99, X10-X39, X50-X59.9, Y40-Y86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6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Ill-defined</w:t>
            </w:r>
          </w:p>
        </w:tc>
        <w:tc>
          <w:tcPr>
            <w:tcW w:w="609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uppressLineNumbers/>
              <w:adjustRightInd/>
              <w:snapToGrid/>
              <w:spacing w:after="0" w:line="24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R00-R99</w:t>
            </w:r>
          </w:p>
        </w:tc>
      </w:tr>
    </w:tbl>
    <w:p>
      <w:pPr>
        <w:widowControl w:val="0"/>
        <w:suppressLineNumbers/>
        <w:adjustRightInd/>
        <w:snapToGrid/>
        <w:spacing w:after="0" w:line="480" w:lineRule="auto"/>
        <w:jc w:val="both"/>
        <w:rPr>
          <w:rFonts w:hint="eastAsia" w:ascii="Times New Roman" w:hAnsi="Times New Roman" w:eastAsia="微软雅黑" w:cs="Times New Roman"/>
          <w:kern w:val="2"/>
          <w:sz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</w:rPr>
        <w:t>CMNN</w:t>
      </w:r>
      <w:r>
        <w:rPr>
          <w:rFonts w:hint="eastAsia" w:ascii="Times New Roman" w:hAnsi="Times New Roman" w:cs="Times New Roman"/>
          <w:sz w:val="24"/>
          <w:szCs w:val="24"/>
        </w:rPr>
        <w:t xml:space="preserve">, </w:t>
      </w:r>
      <w:r>
        <w:rPr>
          <w:rFonts w:hint="eastAsia" w:ascii="Times New Roman" w:hAnsi="Times New Roman" w:cs="Times New Roman"/>
          <w:sz w:val="24"/>
          <w:szCs w:val="24"/>
          <w:shd w:val="clear" w:color="auto" w:fill="FFFFFF"/>
        </w:rPr>
        <w:t>communicable, maternal, neonatal, and nutritional diseases</w:t>
      </w:r>
      <w:r>
        <w:rPr>
          <w:rFonts w:hint="eastAsia"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NCDs</w:t>
      </w:r>
      <w:r>
        <w:rPr>
          <w:rFonts w:hint="eastAsia" w:ascii="Times New Roman" w:hAnsi="Times New Roman" w:cs="Times New Roman"/>
          <w:sz w:val="24"/>
          <w:szCs w:val="24"/>
        </w:rPr>
        <w:t>, n</w:t>
      </w:r>
      <w:r>
        <w:rPr>
          <w:rFonts w:ascii="Times New Roman" w:hAnsi="Times New Roman" w:cs="Times New Roman"/>
          <w:sz w:val="24"/>
          <w:szCs w:val="24"/>
        </w:rPr>
        <w:t>on-</w:t>
      </w:r>
      <w:r>
        <w:rPr>
          <w:rFonts w:hint="eastAsia"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ommunicable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shd w:val="clear" w:color="auto" w:fill="FFFFFF"/>
        </w:rPr>
        <w:t>diseases</w:t>
      </w:r>
      <w:r>
        <w:rPr>
          <w:rFonts w:hint="eastAsia" w:ascii="Times New Roman" w:hAnsi="Times New Roman" w:cs="Times New Roman"/>
          <w:sz w:val="24"/>
          <w:szCs w:val="24"/>
          <w:shd w:val="clear" w:color="auto" w:fill="FFFFFF"/>
          <w:lang w:val="en-US" w:eastAsia="zh-CN"/>
        </w:rPr>
        <w:t>.</w:t>
      </w:r>
    </w:p>
    <w:p>
      <w:pPr>
        <w:widowControl/>
        <w:suppressLineNumbers/>
        <w:adjustRightInd/>
        <w:snapToGrid/>
        <w:spacing w:after="0" w:line="480" w:lineRule="auto"/>
        <w:jc w:val="left"/>
        <w:rPr>
          <w:rFonts w:ascii="Times New Roman" w:hAnsi="Times New Roman" w:eastAsia="宋体" w:cs="Times New Roman"/>
          <w:color w:val="00B050"/>
          <w:kern w:val="2"/>
          <w:sz w:val="24"/>
        </w:rPr>
      </w:pPr>
    </w:p>
    <w:p>
      <w:pPr>
        <w:widowControl/>
        <w:suppressLineNumbers/>
        <w:adjustRightInd/>
        <w:snapToGrid/>
        <w:spacing w:after="0" w:line="480" w:lineRule="auto"/>
        <w:jc w:val="left"/>
        <w:rPr>
          <w:rFonts w:ascii="Times New Roman" w:hAnsi="Times New Roman" w:eastAsia="宋体" w:cs="Times New Roman"/>
          <w:color w:val="00B050"/>
          <w:kern w:val="2"/>
          <w:sz w:val="24"/>
        </w:rPr>
      </w:pPr>
    </w:p>
    <w:p>
      <w:pPr>
        <w:widowControl/>
        <w:suppressLineNumbers/>
        <w:adjustRightInd/>
        <w:snapToGrid/>
        <w:spacing w:after="0" w:line="480" w:lineRule="auto"/>
        <w:jc w:val="left"/>
        <w:rPr>
          <w:rFonts w:ascii="Times New Roman" w:hAnsi="Times New Roman" w:eastAsia="宋体" w:cs="Times New Roman"/>
          <w:color w:val="00B050"/>
          <w:kern w:val="2"/>
          <w:sz w:val="24"/>
        </w:rPr>
      </w:pPr>
    </w:p>
    <w:p>
      <w:pPr>
        <w:spacing w:line="220" w:lineRule="atLeast"/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477433D9"/>
    <w:rsid w:val="6BA0474D"/>
    <w:rsid w:val="6C5A5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徐笑寒</cp:lastModifiedBy>
  <dcterms:modified xsi:type="dcterms:W3CDTF">2020-03-31T07:07:01Z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